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85" w:tblpY="828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480"/>
        <w:gridCol w:w="4315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项目</w:t>
            </w:r>
          </w:p>
        </w:tc>
        <w:tc>
          <w:tcPr>
            <w:tcW w:w="4480" w:type="dxa"/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检查验收内容</w:t>
            </w:r>
          </w:p>
        </w:tc>
        <w:tc>
          <w:tcPr>
            <w:tcW w:w="4315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评分标准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扣分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一、</w:t>
            </w:r>
          </w:p>
          <w:p>
            <w:pPr>
              <w:rPr>
                <w:rFonts w:hint="eastAsia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加强领导</w:t>
            </w:r>
          </w:p>
          <w:p>
            <w:pPr>
              <w:rPr>
                <w:rFonts w:hint="eastAsia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明确责任</w:t>
            </w:r>
          </w:p>
          <w:p>
            <w:pPr>
              <w:rPr>
                <w:rFonts w:hint="default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30分</w:t>
            </w:r>
          </w:p>
          <w:p>
            <w:pPr>
              <w:rPr>
                <w:rFonts w:hint="default" w:ascii="宋体"/>
                <w:b/>
                <w:lang w:val="en-US" w:eastAsia="zh-CN"/>
              </w:rPr>
            </w:pPr>
          </w:p>
        </w:tc>
        <w:tc>
          <w:tcPr>
            <w:tcW w:w="44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1.明确一名部门领导分管档案工作，并将档案工作责任纳入其岗位职责。5分</w:t>
            </w: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1.未明确档案工作分管领导的扣3分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2.未将档案工作责任纳入其岗位职责的扣2分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2.将档案工作列入议事日程，纳入计划总结及会议研究之中。5分</w:t>
            </w: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1.工作计划和总结中均未涉及档案工作的各扣2分</w:t>
            </w:r>
          </w:p>
        </w:tc>
        <w:tc>
          <w:tcPr>
            <w:tcW w:w="710" w:type="dxa"/>
            <w:vAlign w:val="center"/>
          </w:tcPr>
          <w:p>
            <w:pPr>
              <w:jc w:val="both"/>
              <w:rPr>
                <w:rFonts w:hint="default" w:ascii="宋体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2.会议记录中未涉及档案工作的扣2分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3.配备兼职档案人员，并将档案工作责任纳入其岗位职责。5分</w:t>
            </w: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1.未明确档案工作兼职人员的扣3分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2.未将档案工作责任纳入其岗位职责的扣2分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4.分管领导和兼职人员相对稳定，人员岗位变动能及时调整，并及时报送档案馆备案。5分</w:t>
            </w: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1.人员变换时未及时补充的扣3分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2.人员调整补充后未能及时报送档案馆备案的扣2分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5.按时参加学校档案工作会议及业务培训等活动。10分</w:t>
            </w: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未经请假而缺席学校档案工作会议及业务培训等活动的每次扣5分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二、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按时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归档</w:t>
            </w:r>
          </w:p>
          <w:p>
            <w:pPr>
              <w:rPr>
                <w:rFonts w:hint="default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30分</w:t>
            </w:r>
          </w:p>
        </w:tc>
        <w:tc>
          <w:tcPr>
            <w:tcW w:w="44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1.做到按时归档。重要活动或事件的声像档案应在工作结束后一个月内归档。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2.部门按年度归档，并于次年5月中旬前完成向档案馆移交。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3.教学单位按年度并于次年5月中旬完成归档并自行保管。</w:t>
            </w:r>
          </w:p>
        </w:tc>
        <w:tc>
          <w:tcPr>
            <w:tcW w:w="431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职能部门无档案移交档案馆的扣30分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教学单位未归档的扣30分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职能部门未在规定时间前移交档案馆的扣10分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教学单位在统一检查时未完成归档的扣10分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5.按归档范围要求(详见备注）每少一大项扣10分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三、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档案质量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30分</w:t>
            </w:r>
          </w:p>
        </w:tc>
        <w:tc>
          <w:tcPr>
            <w:tcW w:w="44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按照《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</w:rPr>
              <w:t>景德镇学院各类档案归档范围和保管期限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分类、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整理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、保管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档案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431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1.档案分类清晰、明确，各类档案装盒存放5分。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2.要有盒内目录、归档目录，建立检索目录5分。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3.档案种类齐全5分。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4.有档案室或者专门的档案柜5分。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5.档案和未归档资料分柜存放，不混杂在一起5分。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6.各类档案有序摆放5分。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restart"/>
            <w:vAlign w:val="center"/>
          </w:tcPr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四、</w:t>
            </w:r>
          </w:p>
          <w:p>
            <w:pPr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电子目录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10分</w:t>
            </w:r>
          </w:p>
        </w:tc>
        <w:tc>
          <w:tcPr>
            <w:tcW w:w="448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电子目录与纸质文件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照片、音(像)一一对应。</w:t>
            </w: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1.没有电子目录的， 每1件扣2分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55" w:type="dxa"/>
            <w:vMerge w:val="continue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448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2.电子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目录与纸质或光盘不一致的，每1件扣1分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5" w:type="dxa"/>
            <w:vAlign w:val="center"/>
          </w:tcPr>
          <w:p>
            <w:pPr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795" w:type="dxa"/>
            <w:gridSpan w:val="2"/>
            <w:vAlign w:val="center"/>
          </w:tcPr>
          <w:p>
            <w:pPr>
              <w:ind w:firstLine="2168" w:firstLineChars="1200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扣分合计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5" w:type="dxa"/>
            <w:vAlign w:val="center"/>
          </w:tcPr>
          <w:p>
            <w:pPr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795" w:type="dxa"/>
            <w:gridSpan w:val="2"/>
            <w:vAlign w:val="center"/>
          </w:tcPr>
          <w:p>
            <w:pPr>
              <w:ind w:firstLine="2168" w:firstLineChars="1200"/>
              <w:rPr>
                <w:rFonts w:hint="default" w:asci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得分合计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firstLine="28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景德镇学院各部门（学院）归档工作检查验收细则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084" w:firstLineChars="600"/>
        <w:textAlignment w:val="auto"/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单位（盖章）</w:t>
      </w:r>
      <w:r>
        <w:rPr>
          <w:rFonts w:hint="eastAsia" w:ascii="楷体" w:hAnsi="楷体" w:eastAsia="楷体" w:cs="楷体"/>
          <w:b/>
          <w:bCs/>
          <w:sz w:val="24"/>
          <w:szCs w:val="24"/>
          <w:u w:val="none"/>
          <w:lang w:val="en-US" w:eastAsia="zh-CN"/>
        </w:rPr>
        <w:t>自评分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/>
          <w:bCs/>
          <w:sz w:val="24"/>
          <w:szCs w:val="24"/>
          <w:u w:val="none"/>
          <w:lang w:val="en-US" w:eastAsia="zh-CN"/>
        </w:rPr>
        <w:t xml:space="preserve">   分管档案领导签名：      兼职档案员签名</w:t>
      </w:r>
      <w:r>
        <w:rPr>
          <w:rFonts w:hint="eastAsia" w:ascii="宋体"/>
          <w:b/>
          <w:sz w:val="24"/>
          <w:szCs w:val="24"/>
          <w:lang w:val="en-US" w:eastAsia="zh-CN"/>
        </w:rPr>
        <w:t xml:space="preserve">: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CA087"/>
    <w:multiLevelType w:val="singleLevel"/>
    <w:tmpl w:val="BA3CA0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E377F"/>
    <w:rsid w:val="01AD50B9"/>
    <w:rsid w:val="0325291C"/>
    <w:rsid w:val="05380A62"/>
    <w:rsid w:val="079844B0"/>
    <w:rsid w:val="0D0E377F"/>
    <w:rsid w:val="15A703A2"/>
    <w:rsid w:val="200A4883"/>
    <w:rsid w:val="20C07489"/>
    <w:rsid w:val="2C574686"/>
    <w:rsid w:val="2E931517"/>
    <w:rsid w:val="331576A2"/>
    <w:rsid w:val="34936E5A"/>
    <w:rsid w:val="376B0283"/>
    <w:rsid w:val="3CE76DB5"/>
    <w:rsid w:val="488C37C1"/>
    <w:rsid w:val="51CC7C8C"/>
    <w:rsid w:val="7C2D5C29"/>
    <w:rsid w:val="7D6D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844</Characters>
  <Lines>0</Lines>
  <Paragraphs>0</Paragraphs>
  <TotalTime>2</TotalTime>
  <ScaleCrop>false</ScaleCrop>
  <LinksUpToDate>false</LinksUpToDate>
  <CharactersWithSpaces>867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2021-06-18T07:47:00Z</dcterms:created>
  <dc:creator>陈普照</dc:creator>
  <cp:lastModifiedBy>果青</cp:lastModifiedBy>
  <dcterms:modified xsi:type="dcterms:W3CDTF">2022-03-29T07:44:10Z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06E5EF8EA29A4819B8A191835BE044FE</vt:lpwstr>
  </property>
</Properties>
</file>